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28" w:rsidRPr="00030EE6" w:rsidRDefault="008B1B3B" w:rsidP="00017028">
      <w:pPr>
        <w:pStyle w:val="NormalWeb"/>
        <w:shd w:val="clear" w:color="auto" w:fill="FFFFFF"/>
        <w:spacing w:before="0" w:beforeAutospacing="0" w:after="0" w:afterAutospacing="0" w:line="297" w:lineRule="atLeast"/>
        <w:ind w:left="-540" w:right="-540"/>
        <w:jc w:val="center"/>
        <w:rPr>
          <w:rFonts w:ascii="Arial" w:hAnsi="Arial" w:cs="Arial"/>
          <w:noProof/>
        </w:rPr>
      </w:pPr>
      <w:bookmarkStart w:id="0" w:name="_GoBack"/>
      <w:bookmarkEnd w:id="0"/>
      <w:r>
        <w:rPr>
          <w:rFonts w:ascii="Arial" w:hAnsi="Arial" w:cs="Arial"/>
          <w:noProof/>
          <w:highlight w:val="yellow"/>
        </w:rPr>
        <w:t>Pillars Landing Homeowners</w:t>
      </w:r>
      <w:r w:rsidR="00017028" w:rsidRPr="00017028">
        <w:rPr>
          <w:rFonts w:ascii="Arial" w:hAnsi="Arial" w:cs="Arial"/>
          <w:noProof/>
          <w:highlight w:val="yellow"/>
        </w:rPr>
        <w:t xml:space="preserve"> Association, Inc.</w:t>
      </w:r>
    </w:p>
    <w:p w:rsidR="00017028" w:rsidRDefault="00017028" w:rsidP="00017028">
      <w:pPr>
        <w:pStyle w:val="NormalWeb"/>
        <w:shd w:val="clear" w:color="auto" w:fill="FFFFFF"/>
        <w:spacing w:before="0" w:beforeAutospacing="0" w:after="0" w:afterAutospacing="0" w:line="297" w:lineRule="atLeast"/>
        <w:ind w:left="-540" w:right="-540"/>
        <w:rPr>
          <w:rFonts w:ascii="Arial" w:hAnsi="Arial" w:cs="Arial"/>
          <w:noProof/>
        </w:rPr>
      </w:pPr>
    </w:p>
    <w:p w:rsidR="00017028" w:rsidRPr="00030EE6" w:rsidRDefault="00017028" w:rsidP="00017028">
      <w:pPr>
        <w:pStyle w:val="NormalWeb"/>
        <w:shd w:val="clear" w:color="auto" w:fill="FFFFFF"/>
        <w:spacing w:before="0" w:beforeAutospacing="0" w:after="0" w:afterAutospacing="0" w:line="297" w:lineRule="atLeast"/>
        <w:ind w:left="-540" w:right="-540"/>
        <w:rPr>
          <w:rFonts w:ascii="Arial" w:hAnsi="Arial" w:cs="Arial"/>
          <w:noProof/>
        </w:rPr>
      </w:pPr>
    </w:p>
    <w:p w:rsidR="00017028" w:rsidRDefault="00017028" w:rsidP="00017028">
      <w:pPr>
        <w:pStyle w:val="NormalWeb"/>
        <w:shd w:val="clear" w:color="auto" w:fill="FFFFFF"/>
        <w:spacing w:before="0" w:beforeAutospacing="0" w:after="0" w:afterAutospacing="0" w:line="297" w:lineRule="atLeast"/>
        <w:ind w:left="-540" w:right="-540"/>
        <w:jc w:val="center"/>
        <w:rPr>
          <w:rFonts w:ascii="Arial" w:hAnsi="Arial" w:cs="Arial"/>
          <w:b/>
          <w:noProof/>
          <w:sz w:val="32"/>
          <w:szCs w:val="32"/>
        </w:rPr>
      </w:pPr>
      <w:r w:rsidRPr="00030EE6">
        <w:rPr>
          <w:rFonts w:ascii="Arial" w:hAnsi="Arial" w:cs="Arial"/>
          <w:b/>
          <w:noProof/>
          <w:sz w:val="32"/>
          <w:szCs w:val="32"/>
        </w:rPr>
        <w:t>Speaker’s Form</w:t>
      </w:r>
    </w:p>
    <w:p w:rsidR="00017028" w:rsidRDefault="00017028" w:rsidP="00017028">
      <w:pPr>
        <w:pStyle w:val="NormalWeb"/>
        <w:shd w:val="clear" w:color="auto" w:fill="FFFFFF"/>
        <w:spacing w:before="0" w:beforeAutospacing="0" w:after="0" w:afterAutospacing="0" w:line="297" w:lineRule="atLeast"/>
        <w:ind w:left="-540" w:right="-540"/>
        <w:jc w:val="center"/>
        <w:rPr>
          <w:rFonts w:ascii="Arial" w:hAnsi="Arial" w:cs="Arial"/>
          <w:b/>
          <w:noProof/>
          <w:sz w:val="32"/>
          <w:szCs w:val="32"/>
        </w:rPr>
      </w:pPr>
    </w:p>
    <w:p w:rsidR="00017028" w:rsidRPr="00030EE6" w:rsidRDefault="00017028" w:rsidP="00017028">
      <w:pPr>
        <w:pStyle w:val="NormalWeb"/>
        <w:shd w:val="clear" w:color="auto" w:fill="FFFFFF"/>
        <w:spacing w:before="0" w:beforeAutospacing="0" w:after="0" w:afterAutospacing="0" w:line="297" w:lineRule="atLeast"/>
        <w:ind w:left="-540" w:right="-540"/>
        <w:jc w:val="center"/>
        <w:rPr>
          <w:rFonts w:ascii="Arial" w:hAnsi="Arial" w:cs="Arial"/>
          <w:b/>
          <w:noProof/>
          <w:sz w:val="32"/>
          <w:szCs w:val="32"/>
        </w:rPr>
      </w:pPr>
    </w:p>
    <w:p w:rsidR="00017028" w:rsidRPr="00030EE6" w:rsidRDefault="00017028" w:rsidP="00017028">
      <w:pPr>
        <w:pStyle w:val="NormalWeb"/>
        <w:shd w:val="clear" w:color="auto" w:fill="FFFFFF"/>
        <w:spacing w:before="0" w:beforeAutospacing="0" w:after="0" w:afterAutospacing="0" w:line="297" w:lineRule="atLeast"/>
        <w:ind w:left="-540" w:right="-540"/>
        <w:rPr>
          <w:rFonts w:ascii="Arial" w:hAnsi="Arial" w:cs="Arial"/>
          <w:noProof/>
        </w:rPr>
      </w:pPr>
    </w:p>
    <w:p w:rsidR="00017028" w:rsidRPr="00030EE6" w:rsidRDefault="00017028" w:rsidP="00017028">
      <w:pPr>
        <w:pStyle w:val="NormalWeb"/>
        <w:shd w:val="clear" w:color="auto" w:fill="FFFFFF"/>
        <w:spacing w:before="0" w:beforeAutospacing="0" w:after="0" w:afterAutospacing="0" w:line="480" w:lineRule="auto"/>
        <w:ind w:left="-540" w:right="-540"/>
        <w:rPr>
          <w:rFonts w:ascii="Arial" w:hAnsi="Arial" w:cs="Arial"/>
          <w:noProof/>
        </w:rPr>
      </w:pPr>
      <w:r w:rsidRPr="00030EE6">
        <w:rPr>
          <w:rFonts w:ascii="Arial" w:hAnsi="Arial" w:cs="Arial"/>
          <w:noProof/>
        </w:rPr>
        <w:t>Name</w:t>
      </w:r>
      <w:r>
        <w:rPr>
          <w:rFonts w:ascii="Arial" w:hAnsi="Arial" w:cs="Arial"/>
          <w:noProof/>
        </w:rPr>
        <w:t>______________________________________________________________</w:t>
      </w:r>
    </w:p>
    <w:p w:rsidR="00017028" w:rsidRPr="00030EE6" w:rsidRDefault="00017028" w:rsidP="00017028">
      <w:pPr>
        <w:pStyle w:val="NormalWeb"/>
        <w:shd w:val="clear" w:color="auto" w:fill="FFFFFF"/>
        <w:spacing w:before="0" w:beforeAutospacing="0" w:after="0" w:afterAutospacing="0" w:line="480" w:lineRule="auto"/>
        <w:ind w:left="-540" w:right="-540"/>
        <w:rPr>
          <w:rFonts w:ascii="Arial" w:hAnsi="Arial" w:cs="Arial"/>
          <w:noProof/>
        </w:rPr>
      </w:pPr>
      <w:r w:rsidRPr="00030EE6">
        <w:rPr>
          <w:rFonts w:ascii="Arial" w:hAnsi="Arial" w:cs="Arial"/>
          <w:noProof/>
        </w:rPr>
        <w:t>Address</w:t>
      </w:r>
      <w:r>
        <w:rPr>
          <w:rFonts w:ascii="Arial" w:hAnsi="Arial" w:cs="Arial"/>
          <w:noProof/>
        </w:rPr>
        <w:t>____________________________________________________________</w:t>
      </w:r>
    </w:p>
    <w:p w:rsidR="00017028" w:rsidRPr="00030EE6" w:rsidRDefault="00017028" w:rsidP="00017028">
      <w:pPr>
        <w:pStyle w:val="NormalWeb"/>
        <w:shd w:val="clear" w:color="auto" w:fill="FFFFFF"/>
        <w:spacing w:before="0" w:beforeAutospacing="0" w:after="0" w:afterAutospacing="0" w:line="480" w:lineRule="auto"/>
        <w:ind w:left="-540" w:right="-540"/>
        <w:rPr>
          <w:rFonts w:ascii="Arial" w:hAnsi="Arial" w:cs="Arial"/>
          <w:noProof/>
        </w:rPr>
      </w:pPr>
      <w:r>
        <w:rPr>
          <w:rFonts w:ascii="Arial" w:hAnsi="Arial" w:cs="Arial"/>
          <w:noProof/>
        </w:rPr>
        <w:t xml:space="preserve">Agenda Item </w:t>
      </w:r>
      <w:r w:rsidRPr="00030EE6">
        <w:rPr>
          <w:rFonts w:ascii="Arial" w:hAnsi="Arial" w:cs="Arial"/>
          <w:noProof/>
        </w:rPr>
        <w:t>Topic</w:t>
      </w:r>
      <w:r>
        <w:rPr>
          <w:rFonts w:ascii="Arial" w:hAnsi="Arial" w:cs="Arial"/>
          <w:noProof/>
        </w:rPr>
        <w:t xml:space="preserve"> </w:t>
      </w:r>
      <w:r w:rsidRPr="00030EE6">
        <w:rPr>
          <w:rFonts w:ascii="Arial" w:hAnsi="Arial" w:cs="Arial"/>
          <w:noProof/>
        </w:rPr>
        <w:t>to speak on (limit 3 minutes)</w:t>
      </w:r>
    </w:p>
    <w:p w:rsidR="00017028" w:rsidRPr="00030EE6" w:rsidRDefault="00017028" w:rsidP="00017028">
      <w:pPr>
        <w:pStyle w:val="NormalWeb"/>
        <w:shd w:val="clear" w:color="auto" w:fill="FFFFFF"/>
        <w:spacing w:before="0" w:beforeAutospacing="0" w:after="0" w:afterAutospacing="0" w:line="480" w:lineRule="auto"/>
        <w:ind w:left="-540" w:right="-540"/>
        <w:rPr>
          <w:rFonts w:ascii="Arial" w:hAnsi="Arial" w:cs="Arial"/>
          <w:noProof/>
        </w:rPr>
      </w:pPr>
      <w:r>
        <w:rPr>
          <w:rFonts w:ascii="Arial" w:hAnsi="Arial" w:cs="Arial"/>
          <w:noProof/>
        </w:rPr>
        <w:t>___________________________________________________________________</w:t>
      </w:r>
    </w:p>
    <w:p w:rsidR="00017028" w:rsidRDefault="00017028" w:rsidP="00017028">
      <w:pPr>
        <w:pStyle w:val="NormalWeb"/>
        <w:shd w:val="clear" w:color="auto" w:fill="FFFFFF"/>
        <w:ind w:left="-540" w:right="-540"/>
        <w:rPr>
          <w:rFonts w:ascii="Arial" w:hAnsi="Arial" w:cs="Arial"/>
          <w:color w:val="222222"/>
        </w:rPr>
      </w:pPr>
      <w:r>
        <w:rPr>
          <w:rFonts w:ascii="TimesNewRomanPS" w:hAnsi="TimesNewRomanPS" w:cs="Arial"/>
          <w:b/>
          <w:bCs/>
          <w:color w:val="222222"/>
        </w:rPr>
        <w:t xml:space="preserve">720.303 Association powers and duties; meetings of board; official records; budgets; financial reporting; association funds; </w:t>
      </w:r>
      <w:proofErr w:type="gramStart"/>
      <w:r>
        <w:rPr>
          <w:rFonts w:ascii="TimesNewRomanPS" w:hAnsi="TimesNewRomanPS" w:cs="Arial"/>
          <w:b/>
          <w:bCs/>
          <w:color w:val="222222"/>
        </w:rPr>
        <w:t>recalls.</w:t>
      </w:r>
      <w:r>
        <w:rPr>
          <w:rFonts w:ascii="TimesNewRomanPSMT" w:hAnsi="TimesNewRomanPSMT" w:cs="Arial"/>
          <w:color w:val="222222"/>
        </w:rPr>
        <w:t>-</w:t>
      </w:r>
      <w:proofErr w:type="gramEnd"/>
      <w:r>
        <w:rPr>
          <w:rFonts w:ascii="TimesNewRomanPSMT" w:hAnsi="TimesNewRomanPSMT" w:cs="Arial"/>
          <w:color w:val="222222"/>
        </w:rPr>
        <w:t>-</w:t>
      </w:r>
    </w:p>
    <w:p w:rsidR="00017028" w:rsidRDefault="00017028" w:rsidP="00017028">
      <w:pPr>
        <w:pStyle w:val="NormalWeb"/>
        <w:shd w:val="clear" w:color="auto" w:fill="FFFFFF"/>
        <w:ind w:left="-540" w:right="-540"/>
        <w:rPr>
          <w:rFonts w:ascii="Arial" w:hAnsi="Arial" w:cs="Arial"/>
          <w:color w:val="222222"/>
        </w:rPr>
      </w:pPr>
      <w:r>
        <w:rPr>
          <w:rFonts w:ascii="TimesNewRomanPSMT" w:hAnsi="TimesNewRomanPSMT" w:cs="Arial"/>
          <w:color w:val="222222"/>
        </w:rPr>
        <w:t>(2) BOARD MEETINGS—</w:t>
      </w:r>
    </w:p>
    <w:p w:rsidR="00017028" w:rsidRDefault="00017028" w:rsidP="00017028">
      <w:pPr>
        <w:pStyle w:val="NormalWeb"/>
        <w:numPr>
          <w:ilvl w:val="0"/>
          <w:numId w:val="1"/>
        </w:numPr>
        <w:shd w:val="clear" w:color="auto" w:fill="FFFFFF"/>
        <w:ind w:left="-540" w:right="-540" w:firstLine="0"/>
        <w:rPr>
          <w:rFonts w:ascii="Arial" w:hAnsi="Arial" w:cs="Arial"/>
          <w:color w:val="222222"/>
        </w:rPr>
      </w:pPr>
      <w:r>
        <w:rPr>
          <w:rFonts w:ascii="TimesNewRomanPSMT" w:hAnsi="TimesNewRomanPSMT" w:cs="Arial"/>
          <w:color w:val="222222"/>
        </w:rPr>
        <w:t>a)  A meeting of the board of directors of an association occurs whenever a quorum of the board gathers to conduct association business. All meetings of the board must be open to all members except for meetings between the board and its attorney with respect to proposed or pending litigation where the contents of the discussion would otherwise be governed by the attorney-client privilege.</w:t>
      </w:r>
    </w:p>
    <w:p w:rsidR="00017028" w:rsidRDefault="00017028" w:rsidP="00017028">
      <w:pPr>
        <w:pStyle w:val="NormalWeb"/>
        <w:numPr>
          <w:ilvl w:val="0"/>
          <w:numId w:val="1"/>
        </w:numPr>
        <w:shd w:val="clear" w:color="auto" w:fill="FFFFFF"/>
        <w:ind w:left="-540" w:right="-540" w:firstLine="0"/>
        <w:rPr>
          <w:rFonts w:ascii="Arial" w:hAnsi="Arial" w:cs="Arial"/>
          <w:color w:val="222222"/>
        </w:rPr>
      </w:pPr>
      <w:r>
        <w:rPr>
          <w:rFonts w:ascii="TimesNewRomanPSMT" w:hAnsi="TimesNewRomanPSMT" w:cs="Arial"/>
          <w:color w:val="222222"/>
        </w:rPr>
        <w:t>b)  Members have the right to attend all meetings of the board and to speak on any matter placed on the agenda by petition of the voting interests for at least 3 minutes. The association may adopt written reasonable rules expanding the right of members to speak and governing the frequency, duration, and other manner of member statements, which rules must be consistent with this paragraph and may include a sign-up sheet for members wishing to speak. Notwithstanding any other law, the requirement that board meetings and committee meetings be open to the members is inapplicable to meetings between the board or a committee and the association's attorney, with respect to meetings of the board held for the purpose of discussing personnel matters. </w:t>
      </w:r>
    </w:p>
    <w:p w:rsidR="004F787B" w:rsidRDefault="004F787B"/>
    <w:sectPr w:rsidR="004F787B" w:rsidSect="009967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2241"/>
    <w:multiLevelType w:val="multilevel"/>
    <w:tmpl w:val="A53A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28"/>
    <w:rsid w:val="00017028"/>
    <w:rsid w:val="00393ECA"/>
    <w:rsid w:val="003D0C8D"/>
    <w:rsid w:val="004F787B"/>
    <w:rsid w:val="00731DF0"/>
    <w:rsid w:val="00823888"/>
    <w:rsid w:val="008B1B3B"/>
    <w:rsid w:val="0099671F"/>
    <w:rsid w:val="00E7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E05A66B9-45DE-4564-91B9-308C093A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702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3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 Encounter</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van Rooyen</dc:creator>
  <cp:keywords/>
  <dc:description/>
  <cp:lastModifiedBy>Kris Parmer</cp:lastModifiedBy>
  <cp:revision>2</cp:revision>
  <cp:lastPrinted>2016-06-11T18:00:00Z</cp:lastPrinted>
  <dcterms:created xsi:type="dcterms:W3CDTF">2019-05-13T23:31:00Z</dcterms:created>
  <dcterms:modified xsi:type="dcterms:W3CDTF">2019-05-13T23:31:00Z</dcterms:modified>
</cp:coreProperties>
</file>